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center" w:pos="4536"/>
          <w:tab w:val="right" w:pos="8906"/>
        </w:tabs>
        <w:spacing w:after="200" w:line="276" w:lineRule="auto"/>
        <w:jc w:val="right"/>
        <w:rPr>
          <w:sz w:val="24"/>
          <w:szCs w:val="24"/>
        </w:rPr>
      </w:pPr>
      <w:r>
        <w:drawing>
          <wp:inline distT="0" distB="0" distL="0" distR="0">
            <wp:extent cx="2895600" cy="68262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120"/>
        <w:jc w:val="both"/>
        <w:rPr>
          <w:sz w:val="24"/>
          <w:szCs w:val="24"/>
        </w:rPr>
      </w:pPr>
    </w:p>
    <w:p>
      <w:pPr>
        <w:pStyle w:val="Body"/>
        <w:spacing w:after="120"/>
        <w:jc w:val="center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</w:rPr>
        <w:t>MT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Eesti Tantsukunsti ja Tantsuhariduse Liit</w:t>
      </w:r>
    </w:p>
    <w:p>
      <w:pPr>
        <w:pStyle w:val="Body"/>
        <w:spacing w:after="12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20"/>
        <w:jc w:val="center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>Avaldus loometoetuse m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ramiseks</w:t>
      </w:r>
    </w:p>
    <w:p>
      <w:pPr>
        <w:pStyle w:val="Body"/>
        <w:spacing w:after="120"/>
        <w:jc w:val="both"/>
        <w:rPr>
          <w:sz w:val="24"/>
          <w:szCs w:val="24"/>
        </w:rPr>
      </w:pPr>
    </w:p>
    <w:p>
      <w:pPr>
        <w:pStyle w:val="Body"/>
        <w:spacing w:after="120"/>
        <w:jc w:val="both"/>
        <w:rPr>
          <w:sz w:val="24"/>
          <w:szCs w:val="24"/>
        </w:rPr>
      </w:pPr>
    </w:p>
    <w:p>
      <w:pPr>
        <w:pStyle w:val="Body"/>
        <w:spacing w:after="12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Palun m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rata mulle loometoetus kuueks kuuks. </w:t>
      </w:r>
      <w:r>
        <w:rPr>
          <w:sz w:val="24"/>
          <w:szCs w:val="24"/>
          <w:rtl w:val="0"/>
        </w:rPr>
        <w:t>Ma olen Eesti Tantsukunsti ja Tantsuhariduse Liidu liige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NB! </w:t>
      </w:r>
      <w:r>
        <w:rPr>
          <w:sz w:val="24"/>
          <w:szCs w:val="24"/>
          <w:rtl w:val="0"/>
        </w:rPr>
        <w:t>Ettev</w:t>
      </w:r>
      <w:r>
        <w:rPr>
          <w:sz w:val="24"/>
          <w:szCs w:val="24"/>
          <w:rtl w:val="0"/>
          <w:lang w:val="pt-PT"/>
        </w:rPr>
        <w:t>õ</w:t>
      </w:r>
      <w:r>
        <w:rPr>
          <w:sz w:val="24"/>
          <w:szCs w:val="24"/>
          <w:rtl w:val="0"/>
        </w:rPr>
        <w:t>tjaportaali on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 lisatud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levaade kolme viimase aasta loomingulisest tegevusest ja autori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iguse seaduse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-de 9 ja 10 t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henduses avaldatud v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ldsusele suunatud teostest pealkirja, avaldamise aja ja kohaga.</w:t>
      </w:r>
    </w:p>
    <w:p>
      <w:pPr>
        <w:pStyle w:val="Body"/>
        <w:spacing w:after="24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tbl>
      <w:tblPr>
        <w:tblW w:w="89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0"/>
        <w:gridCol w:w="552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Nimi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Isikukood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E-posti aadress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Postiaadress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Arvelduskonto number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60" w:after="6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Kui taotlus esitatakse FIEna, siis registreerimisnumber</w:t>
            </w:r>
          </w:p>
        </w:tc>
        <w:tc>
          <w:tcPr>
            <w:tcW w:type="dxa" w:w="5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240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keepNext w:val="1"/>
        <w:shd w:val="clear" w:color="auto" w:fill="ffffff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Kinnitan, et olen teadlik loometoetuse saamise tingimustest vastavalt loovisikute ja loomeliitude seaduse (edaspidi LLS)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3 l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ikele 1** ja sama seaduse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-le 16*** ning vastan nendele. Kinnitan, et esitatud andmed on 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>iged ja dokumentaalselt t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estatavad.</w:t>
      </w:r>
    </w:p>
    <w:p>
      <w:pPr>
        <w:pStyle w:val="Body"/>
        <w:spacing w:after="12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2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[Nimi]</w:t>
      </w:r>
    </w:p>
    <w:p>
      <w:pPr>
        <w:pStyle w:val="Body"/>
        <w:spacing w:after="12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[Kuup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ev]</w:t>
      </w:r>
    </w:p>
    <w:p>
      <w:pPr>
        <w:pStyle w:val="Body"/>
        <w:spacing w:after="120"/>
        <w:jc w:val="both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Allkirjastatud digitaalselt</w:t>
      </w: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*Kultuuriministri poolt tunnustatud loomeliidud:</w:t>
      </w:r>
    </w:p>
    <w:p>
      <w:pPr>
        <w:pStyle w:val="Body"/>
        <w:spacing w:after="60"/>
        <w:jc w:val="both"/>
        <w:sectPr>
          <w:headerReference w:type="default" r:id="rId5"/>
          <w:footerReference w:type="default" r:id="rId6"/>
          <w:pgSz w:w="11900" w:h="16840" w:orient="portrait"/>
          <w:pgMar w:top="1417" w:right="1557" w:bottom="851" w:left="1417" w:header="708" w:footer="708"/>
          <w:pgNumType w:start="1"/>
          <w:bidi w:val="0"/>
        </w:sectPr>
      </w:pP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Arhitektide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Sisearhitektide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Maastikuarhitektide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Kinoliit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Kujundusgraafikute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Disainerite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Lavastajate ja Dramaturgide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N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itlejate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Balletiliit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Tantsukunsti ja Tantsuhariduse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Esitajate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Heliloojate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Interpreetide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Kirjanike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Kunstnike Liit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Eesti Kunstiteadlaste ja Kuraatorite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hing</w:t>
      </w:r>
    </w:p>
    <w:p>
      <w:pPr>
        <w:pStyle w:val="Body"/>
        <w:numPr>
          <w:ilvl w:val="0"/>
          <w:numId w:val="2"/>
        </w:numPr>
        <w:bidi w:val="0"/>
        <w:spacing w:after="60"/>
        <w:ind w:right="0"/>
        <w:jc w:val="both"/>
        <w:rPr>
          <w:sz w:val="22"/>
          <w:szCs w:val="22"/>
          <w:rtl w:val="0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Eesti Lavastuskunstnike Liit</w:t>
      </w: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  <w:sectPr>
          <w:headerReference w:type="default" r:id="rId7"/>
          <w:pgSz w:w="11900" w:h="16840" w:orient="portrait"/>
          <w:pgMar w:top="1417" w:right="1557" w:bottom="851" w:left="1417" w:header="708" w:footer="708"/>
          <w:cols w:num="2" w:equalWidth="0">
            <w:col w:w="4109" w:space="708"/>
            <w:col w:w="4109" w:space="0"/>
          </w:cols>
          <w:bidi w:val="0"/>
        </w:sect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**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Loovisikute ja loomeliitude seaduse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3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:lang w:val="da-DK"/>
          <w14:textFill>
            <w14:solidFill>
              <w14:srgbClr w14:val="000000"/>
            </w14:solidFill>
          </w14:textFill>
        </w:rPr>
        <w:t>ige 1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Vabakutseline loovisik on loovisik, kes tegutseb k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esoleva seaduse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ikes 1 m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rgitud loomealal ja kes ei ole avalikus teenistuses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ei t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ta t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lepingu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muu sellesarnase iseloomuga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igusliku lepingu alusel.</w:t>
      </w:r>
    </w:p>
    <w:p>
      <w:pPr>
        <w:pStyle w:val="Body"/>
        <w:spacing w:after="6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***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Loovisikute ja loomeliitude seaduse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16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Vabakutselisel loovisikul, kes ei saa loometegevusest sissetulekut, on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igus saada vabakutselise loovisiku loometoetust. Vabakutseline loovisik peab selleks vastama</w:t>
      </w:r>
      <w:bookmarkStart w:name="gjdgxs" w:id="0"/>
      <w:bookmarkEnd w:id="0"/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rgmistele tunnustele: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1)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on vanuses 16. eluaastast kuni vanaduspensioni eani;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2)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ei ole saanud tulu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igusliku lepingu alusel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hemalt loometoetuse taotlemisele eelnenud kuul;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3</w:t>
      </w:r>
      <w:bookmarkStart w:name="j0zll" w:id="1"/>
      <w:bookmarkEnd w:id="1"/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)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ei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pi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 xml:space="preserve">ppeasutuses statsionaarses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ppes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t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 xml:space="preserve">iskoormusega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ppes;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4)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ei teeni kaitsev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es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 asendusteenistuses;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5)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ei saa riiklikku pensioni ega 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lisriigi poolt makstavat pensioni</w:t>
      </w:r>
      <w:bookmarkStart w:name="fob9te" w:id="2"/>
      <w:bookmarkEnd w:id="2"/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6)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ei saa vanemah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vitist pereh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vitiste seaduse alusel;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7)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ei saa t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imetoetust rohkem kui pool k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esoleva seaduse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18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ikes 5 nimetatud loometoetuse suurusest</w:t>
      </w:r>
      <w:bookmarkStart w:name="znysh7" w:id="3"/>
      <w:bookmarkEnd w:id="3"/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after="60"/>
        <w:jc w:val="both"/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Seejuures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tleb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16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ige 3, et loometegevusest saadava sissetuleku hulka ei arvata loovisikule laekuvat loometegevusest saadavat sissetulekut, mille suurus ei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leta poolt k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esoleva seaduse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18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ikes 5 nimetatud loometoetuse suurusest kuus ja tulumaksuseaduse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19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ikes 3 nimetatud tulumaksuga mittemaksustatavat tulu.</w:t>
      </w:r>
    </w:p>
    <w:sectPr>
      <w:type w:val="continuous"/>
      <w:pgSz w:w="11900" w:h="16840" w:orient="portrait"/>
      <w:pgMar w:top="1417" w:right="155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160" w:firstLine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20" w:firstLine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480" w:firstLine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